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444" w:rsidRDefault="00D02444" w:rsidP="00D02444">
      <w:pPr>
        <w:spacing w:after="100" w:afterAutospacing="1"/>
        <w:jc w:val="center"/>
        <w:rPr>
          <w:rFonts w:ascii="Century Gothic" w:eastAsia="Cambria" w:hAnsi="Century Gothic" w:cs="Cambria"/>
          <w:b/>
          <w:sz w:val="32"/>
          <w:szCs w:val="32"/>
          <w:u w:val="single"/>
        </w:rPr>
      </w:pPr>
      <w:r>
        <w:rPr>
          <w:rFonts w:ascii="Century Gothic" w:eastAsia="Cambria" w:hAnsi="Century Gothic" w:cs="Cambria"/>
          <w:b/>
          <w:sz w:val="32"/>
          <w:szCs w:val="32"/>
          <w:u w:val="single"/>
        </w:rPr>
        <w:t>SMALL CLAIMS COURT OF DELTA STATE</w:t>
      </w:r>
    </w:p>
    <w:p w:rsidR="00D02444" w:rsidRDefault="00D02444" w:rsidP="00D02444">
      <w:pPr>
        <w:spacing w:after="100" w:afterAutospacing="1"/>
        <w:jc w:val="both"/>
        <w:rPr>
          <w:rFonts w:ascii="Century Gothic" w:eastAsia="Cambria" w:hAnsi="Century Gothic" w:cs="Cambria"/>
          <w:b/>
          <w:sz w:val="32"/>
          <w:szCs w:val="32"/>
          <w:u w:val="single"/>
        </w:rPr>
      </w:pPr>
      <w:r>
        <w:rPr>
          <w:rFonts w:ascii="Century Gothic" w:eastAsia="Cambria" w:hAnsi="Century Gothic" w:cs="Cambria"/>
          <w:b/>
          <w:sz w:val="32"/>
          <w:szCs w:val="32"/>
          <w:u w:val="single"/>
        </w:rPr>
        <w:t>THE NEED</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sz w:val="32"/>
          <w:szCs w:val="32"/>
        </w:rPr>
        <w:t xml:space="preserve">The establishment of the Small Claims Court (SCC) stems from the recognition that enforcement of simple monetary disputes </w:t>
      </w:r>
      <w:r>
        <w:rPr>
          <w:rFonts w:ascii="Century Gothic" w:eastAsia="Cambria" w:hAnsi="Century Gothic" w:cs="Cambria"/>
          <w:sz w:val="32"/>
          <w:szCs w:val="32"/>
        </w:rPr>
        <w:t>needs</w:t>
      </w:r>
      <w:r>
        <w:rPr>
          <w:rFonts w:ascii="Century Gothic" w:eastAsia="Cambria" w:hAnsi="Century Gothic" w:cs="Cambria"/>
          <w:sz w:val="32"/>
          <w:szCs w:val="32"/>
        </w:rPr>
        <w:t xml:space="preserve"> to be resolved differently and should not be subjected to the complexity of regular court processes.  The processes and processing in the regular courts can make the expenses in time and money expended in the prosecution of such small claims prohibitive and thus discouraging to parties.  There is therefore the need for an accessible, inexpensive, speedy forum for </w:t>
      </w:r>
      <w:r>
        <w:rPr>
          <w:rFonts w:ascii="Century Gothic" w:eastAsia="Cambria" w:hAnsi="Century Gothic" w:cs="Cambria"/>
          <w:sz w:val="32"/>
          <w:szCs w:val="32"/>
        </w:rPr>
        <w:t xml:space="preserve">the </w:t>
      </w:r>
      <w:r>
        <w:rPr>
          <w:rFonts w:ascii="Century Gothic" w:eastAsia="Cambria" w:hAnsi="Century Gothic" w:cs="Cambria"/>
          <w:sz w:val="32"/>
          <w:szCs w:val="32"/>
        </w:rPr>
        <w:t xml:space="preserve">resolution of such small monetary claims.  It is hoped that such </w:t>
      </w:r>
      <w:r>
        <w:rPr>
          <w:rFonts w:ascii="Century Gothic" w:eastAsia="Cambria" w:hAnsi="Century Gothic" w:cs="Cambria"/>
          <w:sz w:val="32"/>
          <w:szCs w:val="32"/>
        </w:rPr>
        <w:t xml:space="preserve">a </w:t>
      </w:r>
      <w:r>
        <w:rPr>
          <w:rFonts w:ascii="Century Gothic" w:eastAsia="Cambria" w:hAnsi="Century Gothic" w:cs="Cambria"/>
          <w:sz w:val="32"/>
          <w:szCs w:val="32"/>
        </w:rPr>
        <w:t xml:space="preserve">speedy resolution will keep small </w:t>
      </w:r>
      <w:r>
        <w:rPr>
          <w:rFonts w:ascii="Century Gothic" w:eastAsia="Cambria" w:hAnsi="Century Gothic" w:cs="Cambria"/>
          <w:sz w:val="32"/>
          <w:szCs w:val="32"/>
        </w:rPr>
        <w:t>businesses</w:t>
      </w:r>
      <w:r>
        <w:rPr>
          <w:rFonts w:ascii="Century Gothic" w:eastAsia="Cambria" w:hAnsi="Century Gothic" w:cs="Cambria"/>
          <w:sz w:val="32"/>
          <w:szCs w:val="32"/>
        </w:rPr>
        <w:t xml:space="preserve"> afloat; thereby improving the economy.  This will also create more jobs.  The success of the small claims court will most definitely have a ripple effect, i.e. decongesting the court, fast &amp; speedy resolution of small claims, improve the economy of the State and the country at large. This will also positively impact the global outlook of the nation and of course World Bank’s ranking on the Ease of Doing Business in Nigeria.  This therefore informed the decision of the Honourable Chief Judge, Hon. Justice </w:t>
      </w:r>
      <w:proofErr w:type="spellStart"/>
      <w:r>
        <w:rPr>
          <w:rFonts w:ascii="Century Gothic" w:eastAsia="Cambria" w:hAnsi="Century Gothic" w:cs="Cambria"/>
          <w:sz w:val="32"/>
          <w:szCs w:val="32"/>
        </w:rPr>
        <w:t>T</w:t>
      </w:r>
      <w:r>
        <w:rPr>
          <w:rFonts w:ascii="Century Gothic" w:eastAsia="Cambria" w:hAnsi="Century Gothic" w:cs="Cambria"/>
          <w:sz w:val="32"/>
          <w:szCs w:val="32"/>
        </w:rPr>
        <w:t>essy</w:t>
      </w:r>
      <w:proofErr w:type="spellEnd"/>
      <w:r>
        <w:rPr>
          <w:rFonts w:ascii="Century Gothic" w:eastAsia="Cambria" w:hAnsi="Century Gothic" w:cs="Cambria"/>
          <w:sz w:val="32"/>
          <w:szCs w:val="32"/>
        </w:rPr>
        <w:t xml:space="preserve"> </w:t>
      </w:r>
      <w:proofErr w:type="spellStart"/>
      <w:r>
        <w:rPr>
          <w:rFonts w:ascii="Century Gothic" w:eastAsia="Cambria" w:hAnsi="Century Gothic" w:cs="Cambria"/>
          <w:sz w:val="32"/>
          <w:szCs w:val="32"/>
        </w:rPr>
        <w:t>Diai</w:t>
      </w:r>
      <w:proofErr w:type="spellEnd"/>
      <w:r>
        <w:rPr>
          <w:rFonts w:ascii="Century Gothic" w:eastAsia="Cambria" w:hAnsi="Century Gothic" w:cs="Cambria"/>
          <w:sz w:val="32"/>
          <w:szCs w:val="32"/>
        </w:rPr>
        <w:t xml:space="preserve"> to inaugurate the Small Claims Court Committee chaired by Hon Justice </w:t>
      </w:r>
      <w:proofErr w:type="spellStart"/>
      <w:r>
        <w:rPr>
          <w:rFonts w:ascii="Century Gothic" w:eastAsia="Cambria" w:hAnsi="Century Gothic" w:cs="Cambria"/>
          <w:sz w:val="32"/>
          <w:szCs w:val="32"/>
        </w:rPr>
        <w:t>R</w:t>
      </w:r>
      <w:r>
        <w:rPr>
          <w:rFonts w:ascii="Century Gothic" w:eastAsia="Cambria" w:hAnsi="Century Gothic" w:cs="Cambria"/>
          <w:sz w:val="32"/>
          <w:szCs w:val="32"/>
        </w:rPr>
        <w:t>oli</w:t>
      </w:r>
      <w:proofErr w:type="spellEnd"/>
      <w:r>
        <w:rPr>
          <w:rFonts w:ascii="Century Gothic" w:eastAsia="Cambria" w:hAnsi="Century Gothic" w:cs="Cambria"/>
          <w:sz w:val="32"/>
          <w:szCs w:val="32"/>
        </w:rPr>
        <w:t xml:space="preserve"> Harriman.   </w:t>
      </w:r>
    </w:p>
    <w:p w:rsidR="00D02444" w:rsidRDefault="00D02444" w:rsidP="00D02444">
      <w:pPr>
        <w:spacing w:after="100" w:afterAutospacing="1"/>
        <w:jc w:val="both"/>
        <w:rPr>
          <w:rFonts w:ascii="Century Gothic" w:eastAsia="Cambria" w:hAnsi="Century Gothic" w:cs="Cambria"/>
          <w:b/>
          <w:sz w:val="32"/>
          <w:szCs w:val="32"/>
        </w:rPr>
      </w:pPr>
      <w:r>
        <w:rPr>
          <w:rFonts w:ascii="Century Gothic" w:eastAsia="Cambria" w:hAnsi="Century Gothic" w:cs="Cambria"/>
          <w:b/>
          <w:sz w:val="32"/>
          <w:szCs w:val="32"/>
        </w:rPr>
        <w:t>STEERING COMMITTEE</w:t>
      </w:r>
    </w:p>
    <w:p w:rsidR="00D02444" w:rsidRDefault="00D02444" w:rsidP="00D02444">
      <w:pPr>
        <w:spacing w:after="100" w:afterAutospacing="1"/>
        <w:jc w:val="both"/>
        <w:rPr>
          <w:rFonts w:ascii="Century Gothic" w:eastAsia="MS Mincho" w:hAnsi="Century Gothic" w:cs="Segoe UI"/>
          <w:bCs/>
          <w:color w:val="202020"/>
          <w:spacing w:val="15"/>
          <w:sz w:val="32"/>
          <w:szCs w:val="32"/>
        </w:rPr>
      </w:pPr>
      <w:r>
        <w:rPr>
          <w:rFonts w:ascii="Century Gothic" w:eastAsia="MS Mincho" w:hAnsi="Century Gothic" w:cs="Segoe UI"/>
          <w:color w:val="000000"/>
          <w:sz w:val="32"/>
          <w:szCs w:val="32"/>
        </w:rPr>
        <w:t>The C</w:t>
      </w:r>
      <w:r>
        <w:rPr>
          <w:rFonts w:ascii="Century Gothic" w:eastAsia="MS Mincho" w:hAnsi="Century Gothic" w:cs="Segoe UI"/>
          <w:bCs/>
          <w:color w:val="202020"/>
          <w:spacing w:val="15"/>
          <w:sz w:val="32"/>
          <w:szCs w:val="32"/>
        </w:rPr>
        <w:t xml:space="preserve">ommittee chaired by Justice </w:t>
      </w:r>
      <w:proofErr w:type="spellStart"/>
      <w:r>
        <w:rPr>
          <w:rFonts w:ascii="Century Gothic" w:eastAsia="MS Mincho" w:hAnsi="Century Gothic" w:cs="Segoe UI"/>
          <w:bCs/>
          <w:color w:val="202020"/>
          <w:spacing w:val="15"/>
          <w:sz w:val="32"/>
          <w:szCs w:val="32"/>
        </w:rPr>
        <w:t>Roli</w:t>
      </w:r>
      <w:proofErr w:type="spellEnd"/>
      <w:r>
        <w:rPr>
          <w:rFonts w:ascii="Century Gothic" w:eastAsia="MS Mincho" w:hAnsi="Century Gothic" w:cs="Segoe UI"/>
          <w:bCs/>
          <w:color w:val="202020"/>
          <w:spacing w:val="15"/>
          <w:sz w:val="32"/>
          <w:szCs w:val="32"/>
        </w:rPr>
        <w:t xml:space="preserve"> Harriman was to work in collaboration with the Presidential Enabling Business Environment Council (PEBEC)to set up the SCC. Other members of the Committee were O. </w:t>
      </w:r>
      <w:proofErr w:type="spellStart"/>
      <w:r>
        <w:rPr>
          <w:rFonts w:ascii="Century Gothic" w:eastAsia="MS Mincho" w:hAnsi="Century Gothic" w:cs="Segoe UI"/>
          <w:bCs/>
          <w:color w:val="202020"/>
          <w:spacing w:val="15"/>
          <w:sz w:val="32"/>
          <w:szCs w:val="32"/>
        </w:rPr>
        <w:t>Aforkeya</w:t>
      </w:r>
      <w:proofErr w:type="spellEnd"/>
      <w:r>
        <w:rPr>
          <w:rFonts w:ascii="Century Gothic" w:eastAsia="MS Mincho" w:hAnsi="Century Gothic" w:cs="Segoe UI"/>
          <w:bCs/>
          <w:color w:val="202020"/>
          <w:spacing w:val="15"/>
          <w:sz w:val="32"/>
          <w:szCs w:val="32"/>
        </w:rPr>
        <w:t xml:space="preserve"> Esq, Chief Registrar (member), E. C. </w:t>
      </w:r>
      <w:proofErr w:type="spellStart"/>
      <w:r>
        <w:rPr>
          <w:rFonts w:ascii="Century Gothic" w:eastAsia="MS Mincho" w:hAnsi="Century Gothic" w:cs="Segoe UI"/>
          <w:bCs/>
          <w:color w:val="202020"/>
          <w:spacing w:val="15"/>
          <w:sz w:val="32"/>
          <w:szCs w:val="32"/>
        </w:rPr>
        <w:t>Tabowei</w:t>
      </w:r>
      <w:proofErr w:type="spellEnd"/>
      <w:r>
        <w:rPr>
          <w:rFonts w:ascii="Century Gothic" w:eastAsia="MS Mincho" w:hAnsi="Century Gothic" w:cs="Segoe UI"/>
          <w:bCs/>
          <w:color w:val="202020"/>
          <w:spacing w:val="15"/>
          <w:sz w:val="32"/>
          <w:szCs w:val="32"/>
        </w:rPr>
        <w:t xml:space="preserve"> </w:t>
      </w:r>
      <w:r>
        <w:rPr>
          <w:rFonts w:ascii="Century Gothic" w:eastAsia="MS Mincho" w:hAnsi="Century Gothic" w:cs="Segoe UI"/>
          <w:bCs/>
          <w:color w:val="202020"/>
          <w:spacing w:val="15"/>
          <w:sz w:val="32"/>
          <w:szCs w:val="32"/>
        </w:rPr>
        <w:lastRenderedPageBreak/>
        <w:t xml:space="preserve">Esq, DCR Special Duties (member) and J. C. </w:t>
      </w:r>
      <w:proofErr w:type="spellStart"/>
      <w:r>
        <w:rPr>
          <w:rFonts w:ascii="Century Gothic" w:eastAsia="MS Mincho" w:hAnsi="Century Gothic" w:cs="Segoe UI"/>
          <w:bCs/>
          <w:color w:val="202020"/>
          <w:spacing w:val="15"/>
          <w:sz w:val="32"/>
          <w:szCs w:val="32"/>
        </w:rPr>
        <w:t>Edomwonyi</w:t>
      </w:r>
      <w:proofErr w:type="spellEnd"/>
      <w:r>
        <w:rPr>
          <w:rFonts w:ascii="Century Gothic" w:eastAsia="MS Mincho" w:hAnsi="Century Gothic" w:cs="Segoe UI"/>
          <w:bCs/>
          <w:color w:val="202020"/>
          <w:spacing w:val="15"/>
          <w:sz w:val="32"/>
          <w:szCs w:val="32"/>
        </w:rPr>
        <w:t xml:space="preserve"> (Mrs), Director, Litigation Dept. (Secretary).</w:t>
      </w:r>
    </w:p>
    <w:p w:rsidR="00D02444" w:rsidRDefault="00D02444" w:rsidP="00D02444">
      <w:pPr>
        <w:spacing w:after="100" w:afterAutospacing="1"/>
        <w:jc w:val="both"/>
        <w:rPr>
          <w:rFonts w:ascii="Century Gothic" w:eastAsia="MS Mincho" w:hAnsi="Century Gothic" w:cs="Segoe UI"/>
          <w:b/>
          <w:bCs/>
          <w:color w:val="202020"/>
          <w:spacing w:val="15"/>
          <w:sz w:val="32"/>
          <w:szCs w:val="32"/>
          <w:u w:val="single"/>
        </w:rPr>
      </w:pPr>
      <w:r>
        <w:rPr>
          <w:rFonts w:ascii="Century Gothic" w:eastAsia="MS Mincho" w:hAnsi="Century Gothic" w:cs="Segoe UI"/>
          <w:b/>
          <w:bCs/>
          <w:color w:val="202020"/>
          <w:spacing w:val="15"/>
          <w:sz w:val="32"/>
          <w:szCs w:val="32"/>
          <w:u w:val="single"/>
        </w:rPr>
        <w:t>TERMS OF REFERENCE OF THE STEERING COMMITTEE</w:t>
      </w:r>
    </w:p>
    <w:p w:rsidR="00D02444" w:rsidRDefault="00D02444" w:rsidP="00D02444">
      <w:pPr>
        <w:pStyle w:val="ListParagraph"/>
        <w:numPr>
          <w:ilvl w:val="0"/>
          <w:numId w:val="1"/>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Liaise with PEBEC</w:t>
      </w:r>
    </w:p>
    <w:p w:rsidR="00D02444" w:rsidRDefault="00D02444" w:rsidP="00D02444">
      <w:pPr>
        <w:pStyle w:val="ListParagraph"/>
        <w:numPr>
          <w:ilvl w:val="0"/>
          <w:numId w:val="1"/>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Draft Practice Direction and performance reporting template</w:t>
      </w:r>
    </w:p>
    <w:p w:rsidR="00D02444" w:rsidRDefault="00D02444" w:rsidP="00D02444">
      <w:pPr>
        <w:pStyle w:val="ListParagraph"/>
        <w:numPr>
          <w:ilvl w:val="0"/>
          <w:numId w:val="1"/>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Designate magistrate courts</w:t>
      </w:r>
    </w:p>
    <w:p w:rsidR="00D02444" w:rsidRDefault="00D02444" w:rsidP="00D02444">
      <w:pPr>
        <w:pStyle w:val="ListParagraph"/>
        <w:numPr>
          <w:ilvl w:val="0"/>
          <w:numId w:val="1"/>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Organise training of magistrates and support staff</w:t>
      </w:r>
    </w:p>
    <w:p w:rsidR="00D02444" w:rsidRDefault="00D02444" w:rsidP="00D02444">
      <w:pPr>
        <w:pStyle w:val="ListParagraph"/>
        <w:numPr>
          <w:ilvl w:val="0"/>
          <w:numId w:val="1"/>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 xml:space="preserve">Launch </w:t>
      </w:r>
      <w:proofErr w:type="gramStart"/>
      <w:r>
        <w:rPr>
          <w:rFonts w:ascii="Century Gothic" w:eastAsia="MS Mincho" w:hAnsi="Century Gothic" w:cs="Segoe UI"/>
          <w:bCs/>
          <w:color w:val="202020"/>
          <w:spacing w:val="15"/>
          <w:sz w:val="32"/>
          <w:szCs w:val="32"/>
        </w:rPr>
        <w:t>take</w:t>
      </w:r>
      <w:proofErr w:type="gramEnd"/>
      <w:r>
        <w:rPr>
          <w:rFonts w:ascii="Century Gothic" w:eastAsia="MS Mincho" w:hAnsi="Century Gothic" w:cs="Segoe UI"/>
          <w:bCs/>
          <w:color w:val="202020"/>
          <w:spacing w:val="15"/>
          <w:sz w:val="32"/>
          <w:szCs w:val="32"/>
        </w:rPr>
        <w:t xml:space="preserve"> off</w:t>
      </w:r>
    </w:p>
    <w:p w:rsidR="00D02444" w:rsidRDefault="00D02444" w:rsidP="00D02444">
      <w:pPr>
        <w:spacing w:after="100" w:afterAutospacing="1"/>
        <w:jc w:val="both"/>
        <w:rPr>
          <w:rFonts w:ascii="Century Gothic" w:eastAsia="Cambria" w:hAnsi="Century Gothic" w:cs="Cambria"/>
          <w:b/>
          <w:sz w:val="32"/>
          <w:szCs w:val="32"/>
          <w:u w:val="single"/>
        </w:rPr>
      </w:pPr>
      <w:r>
        <w:rPr>
          <w:rFonts w:ascii="Century Gothic" w:eastAsia="MS Mincho" w:hAnsi="Century Gothic" w:cs="Segoe UI"/>
          <w:b/>
          <w:bCs/>
          <w:color w:val="202020"/>
          <w:spacing w:val="15"/>
          <w:sz w:val="32"/>
          <w:szCs w:val="32"/>
          <w:u w:val="single"/>
        </w:rPr>
        <w:t>ACHIEVEMENTS</w:t>
      </w:r>
    </w:p>
    <w:p w:rsidR="00D02444" w:rsidRDefault="00D02444" w:rsidP="00D02444">
      <w:pPr>
        <w:pStyle w:val="ListParagraph"/>
        <w:numPr>
          <w:ilvl w:val="0"/>
          <w:numId w:val="2"/>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The Hono</w:t>
      </w:r>
      <w:r>
        <w:rPr>
          <w:rFonts w:ascii="Century Gothic" w:eastAsia="MS Mincho" w:hAnsi="Century Gothic" w:cs="Segoe UI"/>
          <w:bCs/>
          <w:color w:val="202020"/>
          <w:spacing w:val="15"/>
          <w:sz w:val="32"/>
          <w:szCs w:val="32"/>
        </w:rPr>
        <w:t>u</w:t>
      </w:r>
      <w:r>
        <w:rPr>
          <w:rFonts w:ascii="Century Gothic" w:eastAsia="MS Mincho" w:hAnsi="Century Gothic" w:cs="Segoe UI"/>
          <w:bCs/>
          <w:color w:val="202020"/>
          <w:spacing w:val="15"/>
          <w:sz w:val="32"/>
          <w:szCs w:val="32"/>
        </w:rPr>
        <w:t>rable the Chief Judge has issued the SCC Practice Direction (see link)</w:t>
      </w:r>
    </w:p>
    <w:p w:rsidR="00D02444" w:rsidRDefault="00D02444" w:rsidP="00D02444">
      <w:pPr>
        <w:pStyle w:val="ListParagraph"/>
        <w:numPr>
          <w:ilvl w:val="0"/>
          <w:numId w:val="2"/>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Training of designated Magistrates and Court Staff has been completed</w:t>
      </w:r>
    </w:p>
    <w:p w:rsidR="00D02444" w:rsidRDefault="00D02444" w:rsidP="00D02444">
      <w:pPr>
        <w:pStyle w:val="ListParagraph"/>
        <w:numPr>
          <w:ilvl w:val="0"/>
          <w:numId w:val="2"/>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Designed Performance Reporting Template are in use by designated Magistrates</w:t>
      </w:r>
    </w:p>
    <w:p w:rsidR="00D02444" w:rsidRDefault="00D02444" w:rsidP="00D02444">
      <w:pPr>
        <w:pStyle w:val="ListParagraph"/>
        <w:numPr>
          <w:ilvl w:val="0"/>
          <w:numId w:val="2"/>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Launch of Small Claims Court</w:t>
      </w:r>
    </w:p>
    <w:p w:rsidR="00D02444" w:rsidRDefault="00D02444" w:rsidP="00D02444">
      <w:pPr>
        <w:pStyle w:val="ListParagraph"/>
        <w:numPr>
          <w:ilvl w:val="0"/>
          <w:numId w:val="2"/>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Radio and other electronic advertisement done</w:t>
      </w:r>
    </w:p>
    <w:p w:rsidR="00D02444" w:rsidRDefault="00D02444" w:rsidP="00D02444">
      <w:pPr>
        <w:pStyle w:val="ListParagraph"/>
        <w:numPr>
          <w:ilvl w:val="0"/>
          <w:numId w:val="2"/>
        </w:numPr>
        <w:spacing w:after="100" w:afterAutospacing="1"/>
        <w:ind w:left="0" w:firstLine="0"/>
        <w:jc w:val="both"/>
        <w:rPr>
          <w:rFonts w:ascii="Century Gothic" w:eastAsia="MS Mincho" w:hAnsi="Century Gothic" w:cs="Segoe UI"/>
          <w:bCs/>
          <w:color w:val="202020"/>
          <w:spacing w:val="15"/>
          <w:sz w:val="32"/>
          <w:szCs w:val="32"/>
        </w:rPr>
      </w:pPr>
      <w:r>
        <w:rPr>
          <w:rFonts w:ascii="Century Gothic" w:eastAsia="MS Mincho" w:hAnsi="Century Gothic" w:cs="Segoe UI"/>
          <w:bCs/>
          <w:color w:val="202020"/>
          <w:spacing w:val="15"/>
          <w:sz w:val="32"/>
          <w:szCs w:val="32"/>
        </w:rPr>
        <w:t>Handbills and posters displayed at strategic venues</w:t>
      </w:r>
    </w:p>
    <w:p w:rsidR="00D02444" w:rsidRDefault="00D02444" w:rsidP="00D02444">
      <w:pPr>
        <w:spacing w:after="100" w:afterAutospacing="1"/>
        <w:jc w:val="both"/>
        <w:rPr>
          <w:rFonts w:ascii="Century Gothic" w:eastAsia="Cambria" w:hAnsi="Century Gothic" w:cs="Cambria"/>
          <w:b/>
          <w:sz w:val="32"/>
          <w:szCs w:val="32"/>
          <w:u w:val="single"/>
        </w:rPr>
      </w:pPr>
      <w:r>
        <w:rPr>
          <w:rFonts w:ascii="Century Gothic" w:eastAsia="Cambria" w:hAnsi="Century Gothic" w:cs="Cambria"/>
          <w:b/>
          <w:sz w:val="32"/>
          <w:szCs w:val="32"/>
          <w:u w:val="single"/>
        </w:rPr>
        <w:t>HIGHLIGHTS</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sz w:val="32"/>
          <w:szCs w:val="32"/>
        </w:rPr>
        <w:t xml:space="preserve">The objective of the Small Claims Court’s Procedure is to provide easy access to an informal, inexpensive and speedy resolution of simple debt recovery disputes in the Magistrates’ Courts, of claims, not exceeding N5, 000,000.00 (Five Million Naira).   See </w:t>
      </w:r>
      <w:r>
        <w:rPr>
          <w:rFonts w:ascii="Century Gothic" w:eastAsia="Cambria" w:hAnsi="Century Gothic" w:cs="Cambria"/>
          <w:b/>
          <w:sz w:val="32"/>
          <w:szCs w:val="32"/>
        </w:rPr>
        <w:t>Article 1 of the Practice Direction</w:t>
      </w:r>
      <w:r>
        <w:rPr>
          <w:rFonts w:ascii="Century Gothic" w:eastAsia="Cambria" w:hAnsi="Century Gothic" w:cs="Cambria"/>
          <w:sz w:val="32"/>
          <w:szCs w:val="32"/>
        </w:rPr>
        <w:t xml:space="preserve">.  </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sz w:val="32"/>
          <w:szCs w:val="32"/>
        </w:rPr>
        <w:lastRenderedPageBreak/>
        <w:t xml:space="preserve">Jurisdiction of the small claims court is limited to actions for the recovery of money; </w:t>
      </w:r>
      <w:proofErr w:type="spellStart"/>
      <w:r>
        <w:rPr>
          <w:rFonts w:ascii="Century Gothic" w:eastAsia="Cambria" w:hAnsi="Century Gothic" w:cs="Cambria"/>
          <w:sz w:val="32"/>
          <w:szCs w:val="32"/>
        </w:rPr>
        <w:t>i</w:t>
      </w:r>
      <w:proofErr w:type="spellEnd"/>
      <w:r>
        <w:rPr>
          <w:rFonts w:ascii="Century Gothic" w:eastAsia="Cambria" w:hAnsi="Century Gothic" w:cs="Cambria"/>
          <w:sz w:val="32"/>
          <w:szCs w:val="32"/>
        </w:rPr>
        <w:t>. e. simple debt; recovery disputes up to the sum of N5</w:t>
      </w:r>
      <w:r>
        <w:rPr>
          <w:rFonts w:ascii="Century Gothic" w:eastAsia="Cambria" w:hAnsi="Century Gothic" w:cs="Cambria"/>
          <w:sz w:val="32"/>
          <w:szCs w:val="32"/>
        </w:rPr>
        <w:t xml:space="preserve"> </w:t>
      </w:r>
      <w:r>
        <w:rPr>
          <w:rFonts w:ascii="Century Gothic" w:eastAsia="Cambria" w:hAnsi="Century Gothic" w:cs="Cambria"/>
          <w:sz w:val="32"/>
          <w:szCs w:val="32"/>
        </w:rPr>
        <w:t xml:space="preserve">million. </w:t>
      </w:r>
    </w:p>
    <w:p w:rsidR="00D02444" w:rsidRDefault="00D02444" w:rsidP="00D02444">
      <w:pPr>
        <w:spacing w:after="100" w:afterAutospacing="1"/>
        <w:jc w:val="both"/>
        <w:rPr>
          <w:rFonts w:ascii="Century Gothic" w:eastAsia="Cambria" w:hAnsi="Century Gothic" w:cs="Cambria"/>
          <w:b/>
          <w:bCs/>
          <w:sz w:val="32"/>
          <w:szCs w:val="32"/>
        </w:rPr>
      </w:pPr>
      <w:r>
        <w:rPr>
          <w:rFonts w:ascii="Century Gothic" w:eastAsia="Cambria" w:hAnsi="Century Gothic" w:cs="Cambria"/>
          <w:sz w:val="32"/>
          <w:szCs w:val="32"/>
        </w:rPr>
        <w:t xml:space="preserve">A liquidated money demand is “a debt or other specific sum of money usually due and payable and its amount must be already ascertained or capable of being ascertained as a mere matter of arithmetic without any other or further investigation. Whenever, therefore, the amount to which a plaintiff is entitled can be ascertained by calculation or fixed by any scale of charges or other positive data, it is said to be 'liquidated' or made clear.  See </w:t>
      </w:r>
      <w:r>
        <w:rPr>
          <w:rFonts w:ascii="Century Gothic" w:eastAsia="Cambria" w:hAnsi="Century Gothic" w:cs="Cambria"/>
          <w:b/>
          <w:sz w:val="32"/>
          <w:szCs w:val="32"/>
        </w:rPr>
        <w:t xml:space="preserve">Maja Vs. </w:t>
      </w:r>
      <w:proofErr w:type="spellStart"/>
      <w:r>
        <w:rPr>
          <w:rFonts w:ascii="Century Gothic" w:eastAsia="Cambria" w:hAnsi="Century Gothic" w:cs="Cambria"/>
          <w:b/>
          <w:sz w:val="32"/>
          <w:szCs w:val="32"/>
        </w:rPr>
        <w:t>Samouris</w:t>
      </w:r>
      <w:proofErr w:type="spellEnd"/>
      <w:r>
        <w:rPr>
          <w:rFonts w:ascii="Century Gothic" w:eastAsia="Cambria" w:hAnsi="Century Gothic" w:cs="Cambria"/>
          <w:b/>
          <w:sz w:val="32"/>
          <w:szCs w:val="32"/>
        </w:rPr>
        <w:t xml:space="preserve"> (2002) 7 NWLR (Pt.765) 78</w:t>
      </w:r>
      <w:r>
        <w:rPr>
          <w:rFonts w:ascii="Century Gothic" w:eastAsia="Cambria" w:hAnsi="Century Gothic" w:cs="Cambria"/>
          <w:sz w:val="32"/>
          <w:szCs w:val="32"/>
        </w:rPr>
        <w:t xml:space="preserve"> and L</w:t>
      </w:r>
      <w:r>
        <w:rPr>
          <w:rFonts w:ascii="Century Gothic" w:eastAsia="Cambria" w:hAnsi="Century Gothic" w:cs="Cambria"/>
          <w:b/>
          <w:bCs/>
          <w:sz w:val="32"/>
          <w:szCs w:val="32"/>
        </w:rPr>
        <w:t xml:space="preserve">ibra Imports (Nig) Ltd Vs. Access Bank (2018) LPELR-46795 (CA).  </w:t>
      </w:r>
      <w:r>
        <w:rPr>
          <w:rFonts w:ascii="Century Gothic" w:eastAsia="Cambria" w:hAnsi="Century Gothic" w:cs="Cambria"/>
          <w:bCs/>
          <w:sz w:val="32"/>
          <w:szCs w:val="32"/>
        </w:rPr>
        <w:t>See also</w:t>
      </w:r>
      <w:r>
        <w:rPr>
          <w:rFonts w:ascii="Century Gothic" w:eastAsia="Cambria" w:hAnsi="Century Gothic" w:cs="Cambria"/>
          <w:b/>
          <w:bCs/>
          <w:sz w:val="32"/>
          <w:szCs w:val="32"/>
        </w:rPr>
        <w:t xml:space="preserve"> WEMA SECURITIES AND FINANCE PLC. VS. NIGERIA AGRICULTURAL INSURANCE CORP. (2015) LPELR-24833 </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sz w:val="32"/>
          <w:szCs w:val="32"/>
        </w:rPr>
        <w:t xml:space="preserve">The SCC can be said to be the </w:t>
      </w:r>
      <w:r>
        <w:rPr>
          <w:rFonts w:ascii="Century Gothic" w:eastAsia="Cambria" w:hAnsi="Century Gothic" w:cs="Cambria"/>
          <w:b/>
          <w:bCs/>
          <w:sz w:val="32"/>
          <w:szCs w:val="32"/>
        </w:rPr>
        <w:t>Fast Track Division</w:t>
      </w:r>
      <w:r>
        <w:rPr>
          <w:rFonts w:ascii="Century Gothic" w:eastAsia="Cambria" w:hAnsi="Century Gothic" w:cs="Cambria"/>
          <w:sz w:val="32"/>
          <w:szCs w:val="32"/>
        </w:rPr>
        <w:t xml:space="preserve"> of the Magistrate Courts</w:t>
      </w:r>
    </w:p>
    <w:p w:rsidR="00D02444" w:rsidRDefault="00D02444" w:rsidP="00D02444">
      <w:pPr>
        <w:spacing w:after="100" w:afterAutospacing="1"/>
        <w:jc w:val="both"/>
        <w:rPr>
          <w:rFonts w:ascii="Century Gothic" w:eastAsia="Cambria" w:hAnsi="Century Gothic" w:cs="Cambria"/>
          <w:b/>
          <w:sz w:val="32"/>
          <w:szCs w:val="32"/>
          <w:u w:val="single"/>
        </w:rPr>
      </w:pPr>
      <w:r>
        <w:rPr>
          <w:rFonts w:ascii="Century Gothic" w:eastAsia="Cambria" w:hAnsi="Century Gothic" w:cs="Cambria"/>
          <w:b/>
          <w:sz w:val="32"/>
          <w:szCs w:val="32"/>
          <w:u w:val="single"/>
        </w:rPr>
        <w:t>SPECIAL FEATURES</w:t>
      </w:r>
    </w:p>
    <w:p w:rsidR="00D02444" w:rsidRDefault="00D02444" w:rsidP="00D02444">
      <w:pPr>
        <w:spacing w:after="100" w:afterAutospacing="1"/>
        <w:jc w:val="both"/>
        <w:rPr>
          <w:rFonts w:ascii="Century Gothic" w:eastAsia="Cambria" w:hAnsi="Century Gothic" w:cs="Cambria"/>
          <w:bCs/>
          <w:sz w:val="32"/>
          <w:szCs w:val="32"/>
        </w:rPr>
      </w:pPr>
      <w:r>
        <w:rPr>
          <w:rFonts w:ascii="Century Gothic" w:eastAsia="Cambria" w:hAnsi="Century Gothic" w:cs="Cambria"/>
          <w:sz w:val="32"/>
          <w:szCs w:val="32"/>
        </w:rPr>
        <w:t>1.</w:t>
      </w:r>
      <w:r>
        <w:rPr>
          <w:rFonts w:ascii="Century Gothic" w:eastAsia="Cambria" w:hAnsi="Century Gothic" w:cs="Cambria"/>
          <w:sz w:val="32"/>
          <w:szCs w:val="32"/>
        </w:rPr>
        <w:tab/>
      </w:r>
      <w:r>
        <w:rPr>
          <w:rFonts w:ascii="Century Gothic" w:eastAsia="Cambria" w:hAnsi="Century Gothic" w:cs="Cambria"/>
          <w:b/>
          <w:bCs/>
          <w:sz w:val="32"/>
          <w:szCs w:val="32"/>
        </w:rPr>
        <w:t xml:space="preserve"> MONETARY JURISDICTION </w:t>
      </w:r>
      <w:r>
        <w:rPr>
          <w:rFonts w:ascii="Century Gothic" w:eastAsia="Cambria" w:hAnsi="Century Gothic" w:cs="Cambria"/>
          <w:bCs/>
          <w:sz w:val="32"/>
          <w:szCs w:val="32"/>
        </w:rPr>
        <w:t>of N5 million for liquidated debt</w:t>
      </w:r>
    </w:p>
    <w:p w:rsidR="00D02444" w:rsidRPr="00D02444" w:rsidRDefault="00D02444" w:rsidP="00D02444">
      <w:pPr>
        <w:spacing w:after="100" w:afterAutospacing="1"/>
        <w:jc w:val="both"/>
        <w:rPr>
          <w:rFonts w:ascii="Century Gothic" w:eastAsia="Cambria" w:hAnsi="Century Gothic" w:cs="Cambria"/>
          <w:b/>
          <w:sz w:val="32"/>
          <w:szCs w:val="32"/>
        </w:rPr>
      </w:pPr>
      <w:r>
        <w:rPr>
          <w:rFonts w:ascii="Century Gothic" w:eastAsia="Cambria" w:hAnsi="Century Gothic" w:cs="Cambria"/>
          <w:iCs/>
          <w:sz w:val="32"/>
          <w:szCs w:val="32"/>
        </w:rPr>
        <w:t xml:space="preserve">2.     </w:t>
      </w:r>
      <w:r>
        <w:rPr>
          <w:rFonts w:ascii="Century Gothic" w:eastAsia="Cambria" w:hAnsi="Century Gothic" w:cs="Cambria"/>
          <w:sz w:val="32"/>
          <w:szCs w:val="32"/>
        </w:rPr>
        <w:t xml:space="preserve">A </w:t>
      </w:r>
      <w:r>
        <w:rPr>
          <w:rFonts w:ascii="Century Gothic" w:eastAsia="Cambria" w:hAnsi="Century Gothic" w:cs="Cambria"/>
          <w:b/>
          <w:sz w:val="32"/>
          <w:szCs w:val="32"/>
        </w:rPr>
        <w:t xml:space="preserve">COUNTERCLAIM </w:t>
      </w:r>
      <w:r>
        <w:rPr>
          <w:rFonts w:ascii="Century Gothic" w:eastAsia="Cambria" w:hAnsi="Century Gothic" w:cs="Cambria"/>
          <w:sz w:val="32"/>
          <w:szCs w:val="32"/>
        </w:rPr>
        <w:t xml:space="preserve">filed in the same action can be accommodated up to the limit of N10 million.  The rationale for allowing a counterclaim, up to the limit of N10 Million is to discourage a Defendant/Counter-claimant from filing a counter-claim in excess of N5 Million, for the sole purpose of taking the Claimant’s action outside the limit of the small claims’ court thus placing it in the regular track of the court to delay the process.   See </w:t>
      </w:r>
      <w:r>
        <w:rPr>
          <w:rFonts w:ascii="Century Gothic" w:eastAsia="Cambria" w:hAnsi="Century Gothic" w:cs="Cambria"/>
          <w:b/>
          <w:sz w:val="32"/>
          <w:szCs w:val="32"/>
        </w:rPr>
        <w:t>ARTICLE 7 (2) of the Practice Directions</w:t>
      </w:r>
    </w:p>
    <w:p w:rsidR="00D02444" w:rsidRDefault="00D02444" w:rsidP="00D02444">
      <w:pPr>
        <w:spacing w:after="100" w:afterAutospacing="1"/>
        <w:jc w:val="both"/>
        <w:rPr>
          <w:rFonts w:ascii="Century Gothic" w:eastAsia="Cambria" w:hAnsi="Century Gothic" w:cs="Cambria"/>
          <w:b/>
          <w:iCs/>
          <w:sz w:val="32"/>
          <w:szCs w:val="32"/>
        </w:rPr>
      </w:pPr>
      <w:r>
        <w:rPr>
          <w:rFonts w:ascii="Century Gothic" w:eastAsia="Cambria" w:hAnsi="Century Gothic" w:cs="Cambria"/>
          <w:iCs/>
          <w:sz w:val="32"/>
          <w:szCs w:val="32"/>
        </w:rPr>
        <w:lastRenderedPageBreak/>
        <w:t>3.</w:t>
      </w:r>
      <w:r>
        <w:rPr>
          <w:rFonts w:ascii="Century Gothic" w:eastAsia="Cambria" w:hAnsi="Century Gothic" w:cs="Cambria"/>
          <w:iCs/>
          <w:sz w:val="32"/>
          <w:szCs w:val="32"/>
        </w:rPr>
        <w:tab/>
      </w:r>
      <w:r>
        <w:rPr>
          <w:rFonts w:ascii="Century Gothic" w:eastAsia="Cambria" w:hAnsi="Century Gothic" w:cs="Cambria"/>
          <w:b/>
          <w:iCs/>
          <w:sz w:val="32"/>
          <w:szCs w:val="32"/>
        </w:rPr>
        <w:t>COMPUTATION OF TIME</w:t>
      </w:r>
    </w:p>
    <w:p w:rsidR="00D02444" w:rsidRDefault="00D02444" w:rsidP="00D02444">
      <w:pPr>
        <w:spacing w:after="100" w:afterAutospacing="1"/>
        <w:jc w:val="both"/>
        <w:rPr>
          <w:rFonts w:ascii="Century Gothic" w:eastAsia="Cambria" w:hAnsi="Century Gothic" w:cs="Cambria"/>
          <w:iCs/>
          <w:sz w:val="32"/>
          <w:szCs w:val="32"/>
        </w:rPr>
      </w:pPr>
      <w:r>
        <w:rPr>
          <w:rFonts w:ascii="Century Gothic" w:eastAsia="Cambria" w:hAnsi="Century Gothic" w:cs="Cambria"/>
          <w:iCs/>
          <w:sz w:val="32"/>
          <w:szCs w:val="32"/>
        </w:rPr>
        <w:t>a.</w:t>
      </w:r>
      <w:r>
        <w:rPr>
          <w:rFonts w:ascii="Century Gothic" w:eastAsia="Cambria" w:hAnsi="Century Gothic" w:cs="Cambria"/>
          <w:iCs/>
          <w:sz w:val="32"/>
          <w:szCs w:val="32"/>
        </w:rPr>
        <w:tab/>
        <w:t xml:space="preserve">Judgment ought to be delivered within 60 days of filing.  Magistrates are </w:t>
      </w:r>
      <w:r>
        <w:rPr>
          <w:rFonts w:ascii="Century Gothic" w:eastAsia="Cambria" w:hAnsi="Century Gothic" w:cs="Cambria"/>
          <w:iCs/>
          <w:sz w:val="32"/>
          <w:szCs w:val="32"/>
        </w:rPr>
        <w:t>urged</w:t>
      </w:r>
      <w:r>
        <w:rPr>
          <w:rFonts w:ascii="Century Gothic" w:eastAsia="Cambria" w:hAnsi="Century Gothic" w:cs="Cambria"/>
          <w:iCs/>
          <w:sz w:val="32"/>
          <w:szCs w:val="32"/>
        </w:rPr>
        <w:t xml:space="preserve"> to deliver judgment within 14 days of </w:t>
      </w:r>
      <w:r>
        <w:rPr>
          <w:rFonts w:ascii="Century Gothic" w:eastAsia="Cambria" w:hAnsi="Century Gothic" w:cs="Cambria"/>
          <w:iCs/>
          <w:sz w:val="32"/>
          <w:szCs w:val="32"/>
        </w:rPr>
        <w:t xml:space="preserve">the </w:t>
      </w:r>
      <w:r>
        <w:rPr>
          <w:rFonts w:ascii="Century Gothic" w:eastAsia="Cambria" w:hAnsi="Century Gothic" w:cs="Cambria"/>
          <w:iCs/>
          <w:sz w:val="32"/>
          <w:szCs w:val="32"/>
        </w:rPr>
        <w:t xml:space="preserve">close of </w:t>
      </w:r>
      <w:r>
        <w:rPr>
          <w:rFonts w:ascii="Century Gothic" w:eastAsia="Cambria" w:hAnsi="Century Gothic" w:cs="Cambria"/>
          <w:iCs/>
          <w:sz w:val="32"/>
          <w:szCs w:val="32"/>
        </w:rPr>
        <w:t xml:space="preserve">the </w:t>
      </w:r>
      <w:r>
        <w:rPr>
          <w:rFonts w:ascii="Century Gothic" w:eastAsia="Cambria" w:hAnsi="Century Gothic" w:cs="Cambria"/>
          <w:iCs/>
          <w:sz w:val="32"/>
          <w:szCs w:val="32"/>
        </w:rPr>
        <w:t xml:space="preserve">hearing.  </w:t>
      </w:r>
      <w:r>
        <w:rPr>
          <w:rFonts w:ascii="Century Gothic" w:eastAsia="Cambria" w:hAnsi="Century Gothic" w:cs="Cambria"/>
          <w:iCs/>
          <w:sz w:val="32"/>
          <w:szCs w:val="32"/>
        </w:rPr>
        <w:t>To</w:t>
      </w:r>
      <w:r>
        <w:rPr>
          <w:rFonts w:ascii="Century Gothic" w:eastAsia="Cambria" w:hAnsi="Century Gothic" w:cs="Cambria"/>
          <w:sz w:val="32"/>
          <w:szCs w:val="32"/>
        </w:rPr>
        <w:t xml:space="preserve"> ensure that these timelines are strictly observed, determination on interlocutory applications shall be reserved and form part of the judgment of the court. See</w:t>
      </w:r>
      <w:r>
        <w:rPr>
          <w:rFonts w:ascii="Century Gothic" w:eastAsia="Cambria" w:hAnsi="Century Gothic" w:cs="Cambria"/>
          <w:b/>
          <w:sz w:val="32"/>
          <w:szCs w:val="32"/>
        </w:rPr>
        <w:t xml:space="preserve"> Article 12 (1)</w:t>
      </w:r>
    </w:p>
    <w:p w:rsidR="00D02444" w:rsidRDefault="00D02444" w:rsidP="00D02444">
      <w:pPr>
        <w:spacing w:after="100" w:afterAutospacing="1"/>
        <w:jc w:val="both"/>
        <w:rPr>
          <w:rFonts w:ascii="Century Gothic" w:eastAsia="Cambria" w:hAnsi="Century Gothic" w:cs="Cambria"/>
          <w:iCs/>
          <w:sz w:val="32"/>
          <w:szCs w:val="32"/>
        </w:rPr>
      </w:pPr>
      <w:r>
        <w:rPr>
          <w:rFonts w:ascii="Century Gothic" w:eastAsia="Cambria" w:hAnsi="Century Gothic" w:cs="Cambria"/>
          <w:iCs/>
          <w:sz w:val="32"/>
          <w:szCs w:val="32"/>
        </w:rPr>
        <w:t>b.</w:t>
      </w:r>
      <w:r>
        <w:rPr>
          <w:rFonts w:ascii="Century Gothic" w:eastAsia="Cambria" w:hAnsi="Century Gothic" w:cs="Cambria"/>
          <w:iCs/>
          <w:sz w:val="32"/>
          <w:szCs w:val="32"/>
        </w:rPr>
        <w:tab/>
        <w:t xml:space="preserve">Appeals are to be filed within 14 days of the judgment in the lower court.  </w:t>
      </w:r>
      <w:r>
        <w:rPr>
          <w:rFonts w:ascii="Century Gothic" w:eastAsia="Cambria" w:hAnsi="Century Gothic" w:cs="Cambria"/>
          <w:iCs/>
          <w:sz w:val="32"/>
          <w:szCs w:val="32"/>
        </w:rPr>
        <w:t>The judgment</w:t>
      </w:r>
      <w:r>
        <w:rPr>
          <w:rFonts w:ascii="Century Gothic" w:eastAsia="Cambria" w:hAnsi="Century Gothic" w:cs="Cambria"/>
          <w:iCs/>
          <w:sz w:val="32"/>
          <w:szCs w:val="32"/>
        </w:rPr>
        <w:t xml:space="preserve"> ought to </w:t>
      </w:r>
      <w:r>
        <w:rPr>
          <w:rFonts w:ascii="Century Gothic" w:eastAsia="Cambria" w:hAnsi="Century Gothic" w:cs="Cambria"/>
          <w:iCs/>
          <w:sz w:val="32"/>
          <w:szCs w:val="32"/>
        </w:rPr>
        <w:t xml:space="preserve">be </w:t>
      </w:r>
      <w:r>
        <w:rPr>
          <w:rFonts w:ascii="Century Gothic" w:eastAsia="Cambria" w:hAnsi="Century Gothic" w:cs="Cambria"/>
          <w:iCs/>
          <w:sz w:val="32"/>
          <w:szCs w:val="32"/>
        </w:rPr>
        <w:t xml:space="preserve">delivered by the Appeal court within 30 days from </w:t>
      </w:r>
      <w:r>
        <w:rPr>
          <w:rFonts w:ascii="Century Gothic" w:eastAsia="Cambria" w:hAnsi="Century Gothic" w:cs="Cambria"/>
          <w:iCs/>
          <w:sz w:val="32"/>
          <w:szCs w:val="32"/>
        </w:rPr>
        <w:t xml:space="preserve">the </w:t>
      </w:r>
      <w:r>
        <w:rPr>
          <w:rFonts w:ascii="Century Gothic" w:eastAsia="Cambria" w:hAnsi="Century Gothic" w:cs="Cambria"/>
          <w:iCs/>
          <w:sz w:val="32"/>
          <w:szCs w:val="32"/>
        </w:rPr>
        <w:t xml:space="preserve">filing of the appeal.  </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iCs/>
          <w:sz w:val="32"/>
          <w:szCs w:val="32"/>
        </w:rPr>
        <w:t>c.</w:t>
      </w:r>
      <w:r>
        <w:rPr>
          <w:rFonts w:ascii="Century Gothic" w:eastAsia="Cambria" w:hAnsi="Century Gothic" w:cs="Cambria"/>
          <w:iCs/>
          <w:sz w:val="32"/>
          <w:szCs w:val="32"/>
        </w:rPr>
        <w:tab/>
      </w:r>
      <w:r>
        <w:rPr>
          <w:rFonts w:ascii="Century Gothic" w:eastAsia="Cambria" w:hAnsi="Century Gothic" w:cs="Cambria"/>
          <w:sz w:val="32"/>
          <w:szCs w:val="32"/>
        </w:rPr>
        <w:t xml:space="preserve">Adjournments </w:t>
      </w:r>
      <w:r>
        <w:rPr>
          <w:rFonts w:ascii="Century Gothic" w:eastAsia="Cambria" w:hAnsi="Century Gothic" w:cs="Cambria"/>
          <w:sz w:val="32"/>
          <w:szCs w:val="32"/>
        </w:rPr>
        <w:t xml:space="preserve">are </w:t>
      </w:r>
      <w:r>
        <w:rPr>
          <w:rFonts w:ascii="Century Gothic" w:eastAsia="Cambria" w:hAnsi="Century Gothic" w:cs="Cambria"/>
          <w:sz w:val="32"/>
          <w:szCs w:val="32"/>
        </w:rPr>
        <w:t xml:space="preserve">to be granted only in exceptional circumstances and may not be granted more than once to a party during the entire proceedings. </w:t>
      </w:r>
    </w:p>
    <w:p w:rsidR="00D02444" w:rsidRDefault="00D02444" w:rsidP="00D02444">
      <w:pPr>
        <w:spacing w:after="100" w:afterAutospacing="1"/>
        <w:jc w:val="both"/>
        <w:rPr>
          <w:rFonts w:ascii="Century Gothic" w:eastAsia="Cambria" w:hAnsi="Century Gothic" w:cs="Cambria"/>
          <w:b/>
          <w:sz w:val="32"/>
          <w:szCs w:val="32"/>
        </w:rPr>
      </w:pPr>
      <w:r>
        <w:rPr>
          <w:rFonts w:ascii="Century Gothic" w:eastAsia="Cambria" w:hAnsi="Century Gothic" w:cs="Cambria"/>
          <w:iCs/>
          <w:sz w:val="32"/>
          <w:szCs w:val="32"/>
        </w:rPr>
        <w:t>4.</w:t>
      </w:r>
      <w:r>
        <w:rPr>
          <w:rFonts w:ascii="Century Gothic" w:eastAsia="Cambria" w:hAnsi="Century Gothic" w:cs="Cambria"/>
          <w:iCs/>
          <w:sz w:val="32"/>
          <w:szCs w:val="32"/>
        </w:rPr>
        <w:tab/>
      </w:r>
      <w:r>
        <w:rPr>
          <w:rFonts w:ascii="Century Gothic" w:eastAsia="Cambria" w:hAnsi="Century Gothic" w:cs="Cambria"/>
          <w:b/>
          <w:sz w:val="32"/>
          <w:szCs w:val="32"/>
        </w:rPr>
        <w:t xml:space="preserve">SELF-REPRESENTATION </w:t>
      </w:r>
      <w:r>
        <w:rPr>
          <w:rFonts w:ascii="Century Gothic" w:eastAsia="Cambria" w:hAnsi="Century Gothic" w:cs="Cambria"/>
          <w:sz w:val="32"/>
          <w:szCs w:val="32"/>
        </w:rPr>
        <w:t>is encouraged thus reducing costs</w:t>
      </w:r>
      <w:r>
        <w:rPr>
          <w:rFonts w:ascii="Century Gothic" w:eastAsia="Cambria" w:hAnsi="Century Gothic" w:cs="Cambria"/>
          <w:b/>
          <w:sz w:val="32"/>
          <w:szCs w:val="32"/>
        </w:rPr>
        <w:t xml:space="preserve">.  See ARTICLE 10. </w:t>
      </w:r>
      <w:r>
        <w:rPr>
          <w:rFonts w:ascii="Century Gothic" w:eastAsia="Cambria" w:hAnsi="Century Gothic" w:cs="Cambria"/>
          <w:sz w:val="32"/>
          <w:szCs w:val="32"/>
        </w:rPr>
        <w:t xml:space="preserve">Parties are still at liberty to have </w:t>
      </w:r>
      <w:r>
        <w:rPr>
          <w:rFonts w:ascii="Century Gothic" w:eastAsia="Cambria" w:hAnsi="Century Gothic" w:cs="Cambria"/>
          <w:iCs/>
          <w:sz w:val="32"/>
          <w:szCs w:val="32"/>
        </w:rPr>
        <w:t>legal representation.</w:t>
      </w:r>
      <w:r>
        <w:rPr>
          <w:rFonts w:ascii="Century Gothic" w:eastAsia="Cambria" w:hAnsi="Century Gothic" w:cs="Cambria"/>
          <w:sz w:val="32"/>
          <w:szCs w:val="32"/>
        </w:rPr>
        <w:t xml:space="preserve"> </w:t>
      </w:r>
    </w:p>
    <w:p w:rsidR="00D02444" w:rsidRDefault="00D02444" w:rsidP="00D02444">
      <w:pPr>
        <w:spacing w:after="100" w:afterAutospacing="1"/>
        <w:jc w:val="both"/>
        <w:rPr>
          <w:rFonts w:ascii="Century Gothic" w:eastAsia="Cambria" w:hAnsi="Century Gothic" w:cs="Cambria"/>
          <w:sz w:val="32"/>
          <w:szCs w:val="32"/>
          <w:u w:val="single"/>
        </w:rPr>
      </w:pPr>
      <w:r>
        <w:rPr>
          <w:rFonts w:ascii="Century Gothic" w:eastAsia="Cambria" w:hAnsi="Century Gothic" w:cs="Cambria"/>
          <w:iCs/>
          <w:sz w:val="32"/>
          <w:szCs w:val="32"/>
        </w:rPr>
        <w:t>5.</w:t>
      </w:r>
      <w:r>
        <w:rPr>
          <w:rFonts w:ascii="Century Gothic" w:eastAsia="Cambria" w:hAnsi="Century Gothic" w:cs="Cambria"/>
          <w:iCs/>
          <w:sz w:val="32"/>
          <w:szCs w:val="32"/>
        </w:rPr>
        <w:tab/>
      </w:r>
      <w:r>
        <w:rPr>
          <w:rFonts w:ascii="Century Gothic" w:eastAsia="Cambria" w:hAnsi="Century Gothic" w:cs="Cambria"/>
          <w:b/>
          <w:sz w:val="32"/>
          <w:szCs w:val="32"/>
        </w:rPr>
        <w:t>INFORMALITY</w:t>
      </w:r>
      <w:r>
        <w:rPr>
          <w:rFonts w:ascii="Century Gothic" w:eastAsia="Cambria" w:hAnsi="Century Gothic" w:cs="Cambria"/>
          <w:sz w:val="32"/>
          <w:szCs w:val="32"/>
        </w:rPr>
        <w:t xml:space="preserve"> is one key point in the operations of the Small Claims Court. The primary purpose of the small claims court is to provide a less formal and relatively inexpensive forum in which parties to a contract can resolve their disputes very quickly and possibly represent themselves at the hearing of the matters.</w:t>
      </w:r>
      <w:r>
        <w:rPr>
          <w:rFonts w:ascii="Century Gothic" w:eastAsia="Cambria" w:hAnsi="Century Gothic" w:cs="Cambria"/>
          <w:sz w:val="32"/>
          <w:szCs w:val="32"/>
          <w:u w:val="single"/>
        </w:rPr>
        <w:t xml:space="preserve">  </w:t>
      </w:r>
    </w:p>
    <w:p w:rsidR="00D02444" w:rsidRDefault="00D02444" w:rsidP="00D02444">
      <w:pPr>
        <w:spacing w:after="100" w:afterAutospacing="1"/>
        <w:jc w:val="both"/>
        <w:rPr>
          <w:rFonts w:ascii="Century Gothic" w:eastAsia="Cambria" w:hAnsi="Century Gothic" w:cs="Cambria"/>
          <w:b/>
          <w:sz w:val="32"/>
          <w:szCs w:val="32"/>
        </w:rPr>
      </w:pPr>
      <w:r>
        <w:rPr>
          <w:rFonts w:ascii="Century Gothic" w:eastAsia="Cambria" w:hAnsi="Century Gothic" w:cs="Cambria"/>
          <w:iCs/>
          <w:sz w:val="32"/>
          <w:szCs w:val="32"/>
        </w:rPr>
        <w:t>6.</w:t>
      </w:r>
      <w:r>
        <w:rPr>
          <w:rFonts w:ascii="Century Gothic" w:eastAsia="Cambria" w:hAnsi="Century Gothic" w:cs="Cambria"/>
          <w:iCs/>
          <w:sz w:val="32"/>
          <w:szCs w:val="32"/>
        </w:rPr>
        <w:tab/>
      </w:r>
      <w:r>
        <w:rPr>
          <w:rFonts w:ascii="Century Gothic" w:eastAsia="Cambria" w:hAnsi="Century Gothic" w:cs="Cambria"/>
          <w:b/>
          <w:sz w:val="32"/>
          <w:szCs w:val="32"/>
        </w:rPr>
        <w:t xml:space="preserve">SIMPLICITY </w:t>
      </w:r>
      <w:r>
        <w:rPr>
          <w:rFonts w:ascii="Century Gothic" w:eastAsia="Cambria" w:hAnsi="Century Gothic" w:cs="Cambria"/>
          <w:bCs/>
          <w:sz w:val="32"/>
          <w:szCs w:val="32"/>
        </w:rPr>
        <w:t xml:space="preserve">in its practice &amp; procedure. Easy to understand and use prescribed forms </w:t>
      </w:r>
      <w:r>
        <w:rPr>
          <w:rFonts w:ascii="Century Gothic" w:eastAsia="Cambria" w:hAnsi="Century Gothic" w:cs="Cambria"/>
          <w:sz w:val="32"/>
          <w:szCs w:val="32"/>
        </w:rPr>
        <w:t xml:space="preserve">thus eliminating the complexity involved in the settlement of pleadings and filing of processes. </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iCs/>
          <w:sz w:val="32"/>
          <w:szCs w:val="32"/>
        </w:rPr>
        <w:lastRenderedPageBreak/>
        <w:t>7.</w:t>
      </w:r>
      <w:r>
        <w:rPr>
          <w:rFonts w:ascii="Century Gothic" w:eastAsia="Cambria" w:hAnsi="Century Gothic" w:cs="Cambria"/>
          <w:iCs/>
          <w:sz w:val="32"/>
          <w:szCs w:val="32"/>
        </w:rPr>
        <w:tab/>
      </w:r>
      <w:r>
        <w:rPr>
          <w:rFonts w:ascii="Century Gothic" w:eastAsia="Cambria" w:hAnsi="Century Gothic" w:cs="Cambria"/>
          <w:b/>
          <w:iCs/>
          <w:sz w:val="32"/>
          <w:szCs w:val="32"/>
        </w:rPr>
        <w:t>STANDBY</w:t>
      </w:r>
      <w:r>
        <w:rPr>
          <w:rFonts w:ascii="Century Gothic" w:eastAsia="Cambria" w:hAnsi="Century Gothic" w:cs="Cambria"/>
          <w:iCs/>
          <w:sz w:val="32"/>
          <w:szCs w:val="32"/>
        </w:rPr>
        <w:t xml:space="preserve"> assistance in mediation by </w:t>
      </w:r>
      <w:r>
        <w:rPr>
          <w:rFonts w:ascii="Century Gothic" w:eastAsia="Cambria" w:hAnsi="Century Gothic" w:cs="Cambria"/>
          <w:b/>
          <w:iCs/>
          <w:sz w:val="32"/>
          <w:szCs w:val="32"/>
        </w:rPr>
        <w:t>Delta State Multidoor Courthouse</w:t>
      </w:r>
      <w:r>
        <w:rPr>
          <w:rFonts w:ascii="Century Gothic" w:eastAsia="Cambria" w:hAnsi="Century Gothic" w:cs="Cambria"/>
          <w:iCs/>
          <w:sz w:val="32"/>
          <w:szCs w:val="32"/>
        </w:rPr>
        <w:t xml:space="preserve">.  </w:t>
      </w:r>
      <w:r>
        <w:rPr>
          <w:rFonts w:ascii="Century Gothic" w:eastAsia="Cambria" w:hAnsi="Century Gothic" w:cs="Cambria"/>
          <w:sz w:val="32"/>
          <w:szCs w:val="32"/>
        </w:rPr>
        <w:t xml:space="preserve">Alternative Dispute Resolution is at the heart of the Small Claims Court procedure and can also be deployed by Magistrates to decongest their dockets.  </w:t>
      </w:r>
    </w:p>
    <w:p w:rsidR="00D02444" w:rsidRDefault="00D02444" w:rsidP="00D02444">
      <w:pPr>
        <w:spacing w:after="100" w:afterAutospacing="1"/>
        <w:jc w:val="both"/>
        <w:rPr>
          <w:rFonts w:ascii="Century Gothic" w:eastAsia="Cambria" w:hAnsi="Century Gothic" w:cs="Cambria"/>
          <w:iCs/>
          <w:sz w:val="32"/>
          <w:szCs w:val="32"/>
        </w:rPr>
      </w:pPr>
      <w:r>
        <w:rPr>
          <w:rFonts w:ascii="Century Gothic" w:eastAsia="Cambria" w:hAnsi="Century Gothic" w:cs="Cambria"/>
          <w:iCs/>
          <w:sz w:val="32"/>
          <w:szCs w:val="32"/>
        </w:rPr>
        <w:t>6.</w:t>
      </w:r>
      <w:r>
        <w:rPr>
          <w:rFonts w:ascii="Century Gothic" w:eastAsia="Cambria" w:hAnsi="Century Gothic" w:cs="Cambria"/>
          <w:iCs/>
          <w:sz w:val="32"/>
          <w:szCs w:val="32"/>
        </w:rPr>
        <w:tab/>
      </w:r>
      <w:r>
        <w:rPr>
          <w:rFonts w:ascii="Century Gothic" w:eastAsia="Cambria" w:hAnsi="Century Gothic" w:cs="Cambria"/>
          <w:b/>
          <w:sz w:val="32"/>
          <w:szCs w:val="32"/>
        </w:rPr>
        <w:t>THE USE PERFORMANCE EVALUATION REPORTS</w:t>
      </w:r>
      <w:r>
        <w:rPr>
          <w:rFonts w:ascii="Century Gothic" w:eastAsia="Cambria" w:hAnsi="Century Gothic" w:cs="Cambria"/>
          <w:sz w:val="32"/>
          <w:szCs w:val="32"/>
        </w:rPr>
        <w:t xml:space="preserve"> by designated magistrates encourages efficiency and compliance.  Reports are published on and</w:t>
      </w:r>
      <w:r>
        <w:rPr>
          <w:rFonts w:ascii="Century Gothic" w:eastAsia="Cambria" w:hAnsi="Century Gothic" w:cs="Cambria"/>
          <w:iCs/>
          <w:sz w:val="32"/>
          <w:szCs w:val="32"/>
        </w:rPr>
        <w:t xml:space="preserve"> offline for proper collation of Data.</w:t>
      </w:r>
    </w:p>
    <w:p w:rsidR="00D02444" w:rsidRDefault="00D02444" w:rsidP="00D02444">
      <w:pPr>
        <w:spacing w:after="100" w:afterAutospacing="1"/>
        <w:jc w:val="both"/>
        <w:rPr>
          <w:rFonts w:ascii="Century Gothic" w:eastAsia="Cambria" w:hAnsi="Century Gothic" w:cs="Cambria"/>
          <w:b/>
          <w:sz w:val="32"/>
          <w:szCs w:val="32"/>
        </w:rPr>
      </w:pPr>
      <w:r>
        <w:rPr>
          <w:rFonts w:ascii="Century Gothic" w:eastAsia="Cambria" w:hAnsi="Century Gothic" w:cs="Cambria"/>
          <w:b/>
          <w:sz w:val="32"/>
          <w:szCs w:val="32"/>
        </w:rPr>
        <w:t xml:space="preserve"> </w:t>
      </w:r>
    </w:p>
    <w:p w:rsidR="00D02444" w:rsidRDefault="00D02444" w:rsidP="00D02444">
      <w:pPr>
        <w:spacing w:after="0"/>
        <w:jc w:val="both"/>
        <w:rPr>
          <w:rFonts w:ascii="Century Gothic" w:eastAsia="Cambria" w:hAnsi="Century Gothic" w:cs="Cambria"/>
          <w:b/>
          <w:sz w:val="32"/>
          <w:szCs w:val="32"/>
        </w:rPr>
      </w:pPr>
      <w:r>
        <w:rPr>
          <w:rFonts w:ascii="Century Gothic" w:eastAsia="Cambria" w:hAnsi="Century Gothic" w:cs="Cambria"/>
          <w:b/>
          <w:sz w:val="32"/>
          <w:szCs w:val="32"/>
        </w:rPr>
        <w:t>Signed</w:t>
      </w:r>
    </w:p>
    <w:p w:rsidR="00D02444" w:rsidRDefault="00D02444" w:rsidP="00D02444">
      <w:pPr>
        <w:spacing w:after="0"/>
        <w:jc w:val="both"/>
        <w:rPr>
          <w:rFonts w:ascii="Century Gothic" w:eastAsia="Cambria" w:hAnsi="Century Gothic" w:cs="Cambria"/>
          <w:b/>
          <w:sz w:val="32"/>
          <w:szCs w:val="32"/>
        </w:rPr>
      </w:pPr>
      <w:r>
        <w:rPr>
          <w:rFonts w:ascii="Century Gothic" w:eastAsia="Cambria" w:hAnsi="Century Gothic" w:cs="Cambria"/>
          <w:b/>
          <w:sz w:val="32"/>
          <w:szCs w:val="32"/>
        </w:rPr>
        <w:t xml:space="preserve">Hon Justice </w:t>
      </w:r>
      <w:proofErr w:type="spellStart"/>
      <w:r>
        <w:rPr>
          <w:rFonts w:ascii="Century Gothic" w:eastAsia="Cambria" w:hAnsi="Century Gothic" w:cs="Cambria"/>
          <w:b/>
          <w:sz w:val="32"/>
          <w:szCs w:val="32"/>
        </w:rPr>
        <w:t>Roli</w:t>
      </w:r>
      <w:proofErr w:type="spellEnd"/>
      <w:r>
        <w:rPr>
          <w:rFonts w:ascii="Century Gothic" w:eastAsia="Cambria" w:hAnsi="Century Gothic" w:cs="Cambria"/>
          <w:b/>
          <w:sz w:val="32"/>
          <w:szCs w:val="32"/>
        </w:rPr>
        <w:t xml:space="preserve"> D. Harriman</w:t>
      </w:r>
    </w:p>
    <w:p w:rsidR="00D02444" w:rsidRDefault="00D02444" w:rsidP="00D02444">
      <w:pPr>
        <w:spacing w:after="0"/>
        <w:jc w:val="both"/>
        <w:rPr>
          <w:rFonts w:ascii="Century Gothic" w:eastAsia="Cambria" w:hAnsi="Century Gothic" w:cs="Cambria"/>
          <w:b/>
          <w:sz w:val="32"/>
          <w:szCs w:val="32"/>
        </w:rPr>
      </w:pPr>
      <w:r>
        <w:rPr>
          <w:rFonts w:ascii="Century Gothic" w:eastAsia="Cambria" w:hAnsi="Century Gothic" w:cs="Cambria"/>
          <w:b/>
          <w:sz w:val="32"/>
          <w:szCs w:val="32"/>
        </w:rPr>
        <w:t>Supervising Judge</w:t>
      </w:r>
    </w:p>
    <w:p w:rsidR="00D02444" w:rsidRDefault="00D02444" w:rsidP="00D02444">
      <w:pPr>
        <w:spacing w:after="100" w:afterAutospacing="1"/>
        <w:jc w:val="both"/>
        <w:rPr>
          <w:rFonts w:ascii="Century Gothic" w:eastAsia="Cambria" w:hAnsi="Century Gothic" w:cs="Cambria"/>
          <w:sz w:val="32"/>
          <w:szCs w:val="32"/>
        </w:rPr>
      </w:pPr>
      <w:r>
        <w:rPr>
          <w:rFonts w:ascii="Century Gothic" w:eastAsia="Cambria" w:hAnsi="Century Gothic" w:cs="Cambria"/>
          <w:sz w:val="32"/>
          <w:szCs w:val="32"/>
        </w:rPr>
        <w:t xml:space="preserve"> </w:t>
      </w:r>
    </w:p>
    <w:p w:rsidR="00D02444" w:rsidRDefault="00D02444" w:rsidP="00D02444">
      <w:pPr>
        <w:spacing w:after="100" w:afterAutospacing="1"/>
        <w:jc w:val="both"/>
        <w:rPr>
          <w:rFonts w:ascii="Century Gothic" w:eastAsia="Cambria" w:hAnsi="Century Gothic"/>
          <w:sz w:val="32"/>
          <w:szCs w:val="32"/>
        </w:rPr>
      </w:pPr>
      <w:r>
        <w:rPr>
          <w:rFonts w:ascii="Century Gothic" w:eastAsia="Cambria" w:hAnsi="Century Gothic"/>
          <w:sz w:val="32"/>
          <w:szCs w:val="32"/>
        </w:rPr>
        <w:t xml:space="preserve"> </w:t>
      </w:r>
    </w:p>
    <w:p w:rsidR="00D02444" w:rsidRDefault="00D02444"/>
    <w:sectPr w:rsidR="00D02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4EDB"/>
    <w:multiLevelType w:val="multilevel"/>
    <w:tmpl w:val="B6FC7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1C6762"/>
    <w:multiLevelType w:val="multilevel"/>
    <w:tmpl w:val="D12E5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6125967">
    <w:abstractNumId w:val="0"/>
    <w:lvlOverride w:ilvl="0"/>
    <w:lvlOverride w:ilvl="1"/>
    <w:lvlOverride w:ilvl="2"/>
    <w:lvlOverride w:ilvl="3"/>
    <w:lvlOverride w:ilvl="4"/>
    <w:lvlOverride w:ilvl="5"/>
    <w:lvlOverride w:ilvl="6"/>
    <w:lvlOverride w:ilvl="7"/>
    <w:lvlOverride w:ilvl="8"/>
  </w:num>
  <w:num w:numId="2" w16cid:durableId="10598664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44"/>
    <w:rsid w:val="00D0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0CC6B"/>
  <w15:chartTrackingRefBased/>
  <w15:docId w15:val="{44BF1782-B50B-A847-BC37-5C11D631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44"/>
    <w:pPr>
      <w:spacing w:before="100" w:beforeAutospacing="1" w:after="160" w:line="256" w:lineRule="auto"/>
    </w:pPr>
    <w:rPr>
      <w:rFonts w:ascii="Cambria" w:eastAsia="Times New Roman" w:hAnsi="Cambria" w:cs="Times New Roman"/>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Briki-Okolosi</dc:creator>
  <cp:keywords/>
  <dc:description/>
  <cp:lastModifiedBy>Godwin Briki-Okolosi</cp:lastModifiedBy>
  <cp:revision>1</cp:revision>
  <dcterms:created xsi:type="dcterms:W3CDTF">2023-12-29T22:52:00Z</dcterms:created>
  <dcterms:modified xsi:type="dcterms:W3CDTF">2023-12-29T23:00:00Z</dcterms:modified>
</cp:coreProperties>
</file>